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231A" w14:textId="2CCA9F9A" w:rsidR="00F738DB" w:rsidRPr="00F738DB" w:rsidRDefault="00F738DB" w:rsidP="00F738DB">
      <w:pPr>
        <w:spacing w:after="0" w:line="240" w:lineRule="auto"/>
        <w:jc w:val="center"/>
        <w:rPr>
          <w:rFonts w:ascii="標楷體" w:eastAsia="標楷體" w:hAnsi="標楷體"/>
          <w:b/>
          <w:bCs/>
          <w:sz w:val="32"/>
          <w:szCs w:val="32"/>
        </w:rPr>
      </w:pPr>
      <w:r w:rsidRPr="00F738DB">
        <w:rPr>
          <w:rFonts w:ascii="標楷體" w:eastAsia="標楷體" w:hAnsi="標楷體"/>
          <w:b/>
          <w:bCs/>
          <w:sz w:val="32"/>
          <w:szCs w:val="32"/>
        </w:rPr>
        <w:t>藝文學報審稿實施要點</w:t>
      </w:r>
    </w:p>
    <w:p w14:paraId="5DB367CB" w14:textId="2DD64BF9" w:rsidR="00F738DB" w:rsidRPr="00F738DB" w:rsidRDefault="00F738DB" w:rsidP="008B59B5">
      <w:pPr>
        <w:pStyle w:val="a9"/>
        <w:numPr>
          <w:ilvl w:val="0"/>
          <w:numId w:val="1"/>
        </w:numPr>
        <w:spacing w:after="0" w:line="240" w:lineRule="auto"/>
        <w:ind w:left="567" w:hanging="567"/>
        <w:jc w:val="both"/>
        <w:rPr>
          <w:rFonts w:ascii="標楷體" w:eastAsia="標楷體" w:hAnsi="標楷體"/>
        </w:rPr>
      </w:pPr>
      <w:r w:rsidRPr="00F738DB">
        <w:rPr>
          <w:rFonts w:ascii="標楷體" w:eastAsia="標楷體" w:hAnsi="標楷體"/>
        </w:rPr>
        <w:t>為確立</w:t>
      </w:r>
      <w:r w:rsidRPr="00F738DB">
        <w:rPr>
          <w:rFonts w:ascii="標楷體" w:eastAsia="標楷體" w:hAnsi="標楷體" w:hint="eastAsia"/>
        </w:rPr>
        <w:t>中華</w:t>
      </w:r>
      <w:r w:rsidRPr="00C0633E">
        <w:rPr>
          <w:rFonts w:ascii="標楷體" w:eastAsia="標楷體" w:hAnsi="標楷體" w:hint="eastAsia"/>
        </w:rPr>
        <w:t>民國全國大學院校藝文中心協會</w:t>
      </w:r>
      <w:r w:rsidRPr="00C0633E">
        <w:rPr>
          <w:rFonts w:ascii="標楷體" w:eastAsia="標楷體" w:hAnsi="標楷體"/>
        </w:rPr>
        <w:t>藝文學報(以下簡稱本學報)之學術水準，特訂定</w:t>
      </w:r>
      <w:r w:rsidR="00C0633E" w:rsidRPr="00C0633E">
        <w:rPr>
          <w:rFonts w:ascii="標楷體" w:eastAsia="標楷體" w:hAnsi="標楷體" w:hint="eastAsia"/>
        </w:rPr>
        <w:t>本會</w:t>
      </w:r>
      <w:r w:rsidRPr="00C0633E">
        <w:rPr>
          <w:rFonts w:ascii="標楷體" w:eastAsia="標楷體" w:hAnsi="標楷體"/>
        </w:rPr>
        <w:t>藝文學報審稿實施要點(以下簡稱本要點)。</w:t>
      </w:r>
    </w:p>
    <w:p w14:paraId="38161D1C" w14:textId="65BB4E30" w:rsidR="00F738DB" w:rsidRPr="00F738DB" w:rsidRDefault="00F738DB" w:rsidP="00F738DB">
      <w:pPr>
        <w:pStyle w:val="a9"/>
        <w:numPr>
          <w:ilvl w:val="0"/>
          <w:numId w:val="1"/>
        </w:numPr>
        <w:spacing w:after="0" w:line="240" w:lineRule="auto"/>
        <w:ind w:left="567" w:hanging="567"/>
        <w:jc w:val="both"/>
        <w:rPr>
          <w:rFonts w:ascii="標楷體" w:eastAsia="標楷體" w:hAnsi="標楷體"/>
        </w:rPr>
      </w:pPr>
      <w:r w:rsidRPr="00F738DB">
        <w:rPr>
          <w:rFonts w:ascii="標楷體" w:eastAsia="標楷體" w:hAnsi="標楷體"/>
        </w:rPr>
        <w:t>本學報之審稿制度，包括形式審查、預審、外審與</w:t>
      </w:r>
      <w:proofErr w:type="gramStart"/>
      <w:r w:rsidRPr="00F738DB">
        <w:rPr>
          <w:rFonts w:ascii="標楷體" w:eastAsia="標楷體" w:hAnsi="標楷體"/>
        </w:rPr>
        <w:t>複</w:t>
      </w:r>
      <w:proofErr w:type="gramEnd"/>
      <w:r w:rsidRPr="00F738DB">
        <w:rPr>
          <w:rFonts w:ascii="標楷體" w:eastAsia="標楷體" w:hAnsi="標楷體"/>
        </w:rPr>
        <w:t>審四個階段。</w:t>
      </w:r>
    </w:p>
    <w:p w14:paraId="6877F7B5" w14:textId="5D66C7B3" w:rsidR="00F738DB" w:rsidRPr="00F738DB" w:rsidRDefault="00F738DB" w:rsidP="00F738DB">
      <w:pPr>
        <w:pStyle w:val="a9"/>
        <w:numPr>
          <w:ilvl w:val="0"/>
          <w:numId w:val="2"/>
        </w:numPr>
        <w:spacing w:after="0" w:line="240" w:lineRule="auto"/>
        <w:ind w:left="1304" w:hanging="737"/>
        <w:jc w:val="both"/>
        <w:rPr>
          <w:rFonts w:ascii="標楷體" w:eastAsia="標楷體" w:hAnsi="標楷體"/>
        </w:rPr>
      </w:pPr>
      <w:r w:rsidRPr="00F738DB">
        <w:rPr>
          <w:rFonts w:ascii="標楷體" w:eastAsia="標楷體" w:hAnsi="標楷體"/>
        </w:rPr>
        <w:t>形式審查：針對來稿確認是否符合形式要件（包括字數、撰稿體例等）。</w:t>
      </w:r>
    </w:p>
    <w:p w14:paraId="0EB35B2B" w14:textId="77777777" w:rsidR="00F738DB" w:rsidRPr="00F738DB" w:rsidRDefault="00F738DB" w:rsidP="00F738DB">
      <w:pPr>
        <w:pStyle w:val="a9"/>
        <w:numPr>
          <w:ilvl w:val="0"/>
          <w:numId w:val="2"/>
        </w:numPr>
        <w:spacing w:after="0" w:line="240" w:lineRule="auto"/>
        <w:ind w:left="1304" w:hanging="737"/>
        <w:jc w:val="both"/>
        <w:rPr>
          <w:rFonts w:ascii="標楷體" w:eastAsia="標楷體" w:hAnsi="標楷體"/>
        </w:rPr>
      </w:pPr>
      <w:r w:rsidRPr="00F738DB">
        <w:rPr>
          <w:rFonts w:ascii="標楷體" w:eastAsia="標楷體" w:hAnsi="標楷體"/>
        </w:rPr>
        <w:t>預審：通過形式審查之稿件，由學報主編針對文稿品質及主題宗旨進行預審；如有疑義，由學報主編邀請一位編輯委員閱讀該論文，若看法一致不符合本學報性質、形式要件及嚴謹程度者，即</w:t>
      </w:r>
      <w:proofErr w:type="gramStart"/>
      <w:r w:rsidRPr="00F738DB">
        <w:rPr>
          <w:rFonts w:ascii="標楷體" w:eastAsia="標楷體" w:hAnsi="標楷體"/>
        </w:rPr>
        <w:t>予退</w:t>
      </w:r>
      <w:proofErr w:type="gramEnd"/>
      <w:r w:rsidRPr="00F738DB">
        <w:rPr>
          <w:rFonts w:ascii="標楷體" w:eastAsia="標楷體" w:hAnsi="標楷體"/>
        </w:rPr>
        <w:t>件。</w:t>
      </w:r>
    </w:p>
    <w:p w14:paraId="32636FDB" w14:textId="77777777" w:rsidR="00F738DB" w:rsidRPr="00F738DB" w:rsidRDefault="00F738DB" w:rsidP="00F738DB">
      <w:pPr>
        <w:pStyle w:val="a9"/>
        <w:numPr>
          <w:ilvl w:val="0"/>
          <w:numId w:val="2"/>
        </w:numPr>
        <w:spacing w:after="0" w:line="240" w:lineRule="auto"/>
        <w:ind w:left="1304" w:hanging="737"/>
        <w:jc w:val="both"/>
        <w:rPr>
          <w:rFonts w:ascii="標楷體" w:eastAsia="標楷體" w:hAnsi="標楷體"/>
        </w:rPr>
      </w:pPr>
      <w:r w:rsidRPr="00F738DB">
        <w:rPr>
          <w:rFonts w:ascii="標楷體" w:eastAsia="標楷體" w:hAnsi="標楷體"/>
        </w:rPr>
        <w:t>外審：</w:t>
      </w:r>
    </w:p>
    <w:p w14:paraId="64C00E5A" w14:textId="36F38124" w:rsidR="00F738DB" w:rsidRPr="00F738DB" w:rsidRDefault="00F738DB" w:rsidP="00F738DB">
      <w:pPr>
        <w:pStyle w:val="a9"/>
        <w:numPr>
          <w:ilvl w:val="0"/>
          <w:numId w:val="3"/>
        </w:numPr>
        <w:spacing w:after="0" w:line="240" w:lineRule="auto"/>
        <w:jc w:val="both"/>
        <w:rPr>
          <w:rFonts w:ascii="標楷體" w:eastAsia="標楷體" w:hAnsi="標楷體"/>
        </w:rPr>
      </w:pPr>
      <w:r w:rsidRPr="00F738DB">
        <w:rPr>
          <w:rFonts w:ascii="標楷體" w:eastAsia="標楷體" w:hAnsi="標楷體"/>
        </w:rPr>
        <w:t>通過預審之稿件，由主編指派相關領域之編輯委員，並由編輯委員以匿名方式送請二至三位相關領域之專業學者進行外部審查；若受推薦之審查者，因故未能審查或不符專業條件者，由原編輯委員另決定人選送審。</w:t>
      </w:r>
    </w:p>
    <w:p w14:paraId="00F5335A" w14:textId="77777777" w:rsidR="00F738DB" w:rsidRPr="00F738DB" w:rsidRDefault="00F738DB" w:rsidP="00F738DB">
      <w:pPr>
        <w:pStyle w:val="a9"/>
        <w:numPr>
          <w:ilvl w:val="0"/>
          <w:numId w:val="3"/>
        </w:numPr>
        <w:spacing w:after="0" w:line="240" w:lineRule="auto"/>
        <w:jc w:val="both"/>
        <w:rPr>
          <w:rFonts w:ascii="標楷體" w:eastAsia="標楷體" w:hAnsi="標楷體"/>
        </w:rPr>
      </w:pPr>
      <w:r w:rsidRPr="00F738DB">
        <w:rPr>
          <w:rFonts w:ascii="標楷體" w:eastAsia="標楷體" w:hAnsi="標楷體"/>
        </w:rPr>
        <w:t>經審查要求修改之論文，應填寫「學報論文審查意見處理情形表」。</w:t>
      </w:r>
    </w:p>
    <w:p w14:paraId="6AD88D99" w14:textId="77777777" w:rsidR="00F738DB" w:rsidRPr="00F738DB" w:rsidRDefault="00F738DB" w:rsidP="00F738DB">
      <w:pPr>
        <w:pStyle w:val="a9"/>
        <w:numPr>
          <w:ilvl w:val="0"/>
          <w:numId w:val="3"/>
        </w:numPr>
        <w:spacing w:after="0" w:line="240" w:lineRule="auto"/>
        <w:jc w:val="both"/>
        <w:rPr>
          <w:rFonts w:ascii="標楷體" w:eastAsia="標楷體" w:hAnsi="標楷體"/>
        </w:rPr>
      </w:pPr>
      <w:r w:rsidRPr="00F738DB">
        <w:rPr>
          <w:rFonts w:ascii="標楷體" w:eastAsia="標楷體" w:hAnsi="標楷體"/>
        </w:rPr>
        <w:t>外審意見分為四類：</w:t>
      </w:r>
    </w:p>
    <w:p w14:paraId="4E34B510" w14:textId="5713104F" w:rsidR="00F738DB" w:rsidRPr="00F738DB" w:rsidRDefault="00F738DB" w:rsidP="00F738DB">
      <w:pPr>
        <w:pStyle w:val="a9"/>
        <w:numPr>
          <w:ilvl w:val="0"/>
          <w:numId w:val="4"/>
        </w:numPr>
        <w:spacing w:after="0" w:line="240" w:lineRule="auto"/>
        <w:jc w:val="both"/>
        <w:rPr>
          <w:rFonts w:ascii="標楷體" w:eastAsia="標楷體" w:hAnsi="標楷體"/>
        </w:rPr>
      </w:pPr>
      <w:r w:rsidRPr="00F738DB">
        <w:rPr>
          <w:rFonts w:ascii="標楷體" w:eastAsia="標楷體" w:hAnsi="標楷體"/>
        </w:rPr>
        <w:t>刊登。</w:t>
      </w:r>
    </w:p>
    <w:p w14:paraId="467430DB" w14:textId="77777777" w:rsidR="00F738DB" w:rsidRPr="00F738DB" w:rsidRDefault="00F738DB" w:rsidP="00F738DB">
      <w:pPr>
        <w:pStyle w:val="a9"/>
        <w:numPr>
          <w:ilvl w:val="0"/>
          <w:numId w:val="4"/>
        </w:numPr>
        <w:spacing w:after="0" w:line="240" w:lineRule="auto"/>
        <w:jc w:val="both"/>
        <w:rPr>
          <w:rFonts w:ascii="標楷體" w:eastAsia="標楷體" w:hAnsi="標楷體"/>
        </w:rPr>
      </w:pPr>
      <w:r w:rsidRPr="00F738DB">
        <w:rPr>
          <w:rFonts w:ascii="標楷體" w:eastAsia="標楷體" w:hAnsi="標楷體"/>
        </w:rPr>
        <w:t>修改後刊登。</w:t>
      </w:r>
    </w:p>
    <w:p w14:paraId="2DB5B60A" w14:textId="77777777" w:rsidR="00F738DB" w:rsidRPr="00F738DB" w:rsidRDefault="00F738DB" w:rsidP="00F738DB">
      <w:pPr>
        <w:pStyle w:val="a9"/>
        <w:numPr>
          <w:ilvl w:val="0"/>
          <w:numId w:val="4"/>
        </w:numPr>
        <w:spacing w:after="0" w:line="240" w:lineRule="auto"/>
        <w:jc w:val="both"/>
        <w:rPr>
          <w:rFonts w:ascii="標楷體" w:eastAsia="標楷體" w:hAnsi="標楷體"/>
        </w:rPr>
      </w:pPr>
      <w:r w:rsidRPr="00F738DB">
        <w:rPr>
          <w:rFonts w:ascii="標楷體" w:eastAsia="標楷體" w:hAnsi="標楷體"/>
        </w:rPr>
        <w:t>修改後再審。</w:t>
      </w:r>
    </w:p>
    <w:p w14:paraId="507D98E5" w14:textId="68F22D03" w:rsidR="00F738DB" w:rsidRPr="00F738DB" w:rsidRDefault="00F738DB" w:rsidP="00F738DB">
      <w:pPr>
        <w:pStyle w:val="a9"/>
        <w:numPr>
          <w:ilvl w:val="0"/>
          <w:numId w:val="4"/>
        </w:numPr>
        <w:spacing w:after="0" w:line="240" w:lineRule="auto"/>
        <w:jc w:val="both"/>
        <w:rPr>
          <w:rFonts w:ascii="標楷體" w:eastAsia="標楷體" w:hAnsi="標楷體"/>
        </w:rPr>
      </w:pPr>
      <w:r w:rsidRPr="00F738DB">
        <w:rPr>
          <w:rFonts w:ascii="標楷體" w:eastAsia="標楷體" w:hAnsi="標楷體"/>
        </w:rPr>
        <w:t>不予刊登。</w:t>
      </w:r>
    </w:p>
    <w:p w14:paraId="7D5F5ED5" w14:textId="782EA8A5" w:rsidR="00F738DB" w:rsidRPr="00F738DB" w:rsidRDefault="00F738DB" w:rsidP="00F738DB">
      <w:pPr>
        <w:pStyle w:val="a9"/>
        <w:numPr>
          <w:ilvl w:val="0"/>
          <w:numId w:val="3"/>
        </w:numPr>
        <w:spacing w:after="0" w:line="240" w:lineRule="auto"/>
        <w:jc w:val="both"/>
        <w:rPr>
          <w:rFonts w:ascii="標楷體" w:eastAsia="標楷體" w:hAnsi="標楷體"/>
        </w:rPr>
      </w:pPr>
      <w:r w:rsidRPr="00F738DB">
        <w:rPr>
          <w:rFonts w:ascii="標楷體" w:eastAsia="標楷體" w:hAnsi="標楷體"/>
        </w:rPr>
        <w:t>外審意見的處理原則：</w:t>
      </w:r>
    </w:p>
    <w:tbl>
      <w:tblPr>
        <w:tblW w:w="9881" w:type="dxa"/>
        <w:jc w:val="center"/>
        <w:tblLayout w:type="fixed"/>
        <w:tblCellMar>
          <w:left w:w="0" w:type="dxa"/>
          <w:right w:w="0" w:type="dxa"/>
        </w:tblCellMar>
        <w:tblLook w:val="04A0" w:firstRow="1" w:lastRow="0" w:firstColumn="1" w:lastColumn="0" w:noHBand="0" w:noVBand="1"/>
      </w:tblPr>
      <w:tblGrid>
        <w:gridCol w:w="697"/>
        <w:gridCol w:w="1416"/>
        <w:gridCol w:w="1779"/>
        <w:gridCol w:w="1991"/>
        <w:gridCol w:w="1991"/>
        <w:gridCol w:w="2007"/>
      </w:tblGrid>
      <w:tr w:rsidR="00F738DB" w:rsidRPr="00F738DB" w14:paraId="15549F25" w14:textId="77777777" w:rsidTr="00F738DB">
        <w:trPr>
          <w:trHeight w:val="436"/>
          <w:jc w:val="center"/>
        </w:trPr>
        <w:tc>
          <w:tcPr>
            <w:tcW w:w="2113"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602D2"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處理方式</w:t>
            </w:r>
          </w:p>
        </w:tc>
        <w:tc>
          <w:tcPr>
            <w:tcW w:w="776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670C6E"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第  二  位  評  審  意  見</w:t>
            </w:r>
          </w:p>
        </w:tc>
      </w:tr>
      <w:tr w:rsidR="00F738DB" w:rsidRPr="00F738DB" w14:paraId="1953871B" w14:textId="77777777" w:rsidTr="00F738DB">
        <w:trPr>
          <w:trHeight w:val="485"/>
          <w:jc w:val="center"/>
        </w:trPr>
        <w:tc>
          <w:tcPr>
            <w:tcW w:w="2113" w:type="dxa"/>
            <w:gridSpan w:val="2"/>
            <w:vMerge/>
            <w:tcBorders>
              <w:top w:val="single" w:sz="8" w:space="0" w:color="auto"/>
              <w:left w:val="single" w:sz="8" w:space="0" w:color="auto"/>
              <w:bottom w:val="single" w:sz="8" w:space="0" w:color="auto"/>
              <w:right w:val="single" w:sz="8" w:space="0" w:color="auto"/>
            </w:tcBorders>
            <w:vAlign w:val="center"/>
            <w:hideMark/>
          </w:tcPr>
          <w:p w14:paraId="6A6A1758" w14:textId="77777777" w:rsidR="00F738DB" w:rsidRPr="00F738DB" w:rsidRDefault="00F738DB" w:rsidP="00F738DB">
            <w:pPr>
              <w:spacing w:after="0" w:line="240" w:lineRule="auto"/>
              <w:jc w:val="center"/>
              <w:rPr>
                <w:rFonts w:ascii="標楷體" w:eastAsia="標楷體" w:hAnsi="標楷體"/>
              </w:rPr>
            </w:pP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E810F"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同意刊登</w:t>
            </w:r>
          </w:p>
        </w:tc>
        <w:tc>
          <w:tcPr>
            <w:tcW w:w="1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9DA1D"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修正後刊登</w:t>
            </w:r>
          </w:p>
        </w:tc>
        <w:tc>
          <w:tcPr>
            <w:tcW w:w="1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17730"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修正後再審</w:t>
            </w:r>
          </w:p>
        </w:tc>
        <w:tc>
          <w:tcPr>
            <w:tcW w:w="2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61F17"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不宜刊登</w:t>
            </w:r>
          </w:p>
        </w:tc>
      </w:tr>
      <w:tr w:rsidR="00F738DB" w:rsidRPr="00F738DB" w14:paraId="0D65C736" w14:textId="77777777" w:rsidTr="00F738DB">
        <w:trPr>
          <w:trHeight w:val="519"/>
          <w:jc w:val="center"/>
        </w:trPr>
        <w:tc>
          <w:tcPr>
            <w:tcW w:w="69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72D0CE" w14:textId="77777777" w:rsidR="00F738DB" w:rsidRPr="00F738DB" w:rsidRDefault="00F738DB" w:rsidP="00F738DB">
            <w:pPr>
              <w:spacing w:after="0" w:line="300" w:lineRule="exact"/>
              <w:jc w:val="center"/>
              <w:rPr>
                <w:rFonts w:ascii="標楷體" w:eastAsia="標楷體" w:hAnsi="標楷體"/>
              </w:rPr>
            </w:pPr>
            <w:r w:rsidRPr="00F738DB">
              <w:rPr>
                <w:rFonts w:ascii="標楷體" w:eastAsia="標楷體" w:hAnsi="標楷體"/>
              </w:rPr>
              <w:t>第</w:t>
            </w:r>
          </w:p>
          <w:p w14:paraId="33C138F1" w14:textId="77777777" w:rsidR="00F738DB" w:rsidRPr="00F738DB" w:rsidRDefault="00F738DB" w:rsidP="00F738DB">
            <w:pPr>
              <w:spacing w:after="0" w:line="300" w:lineRule="exact"/>
              <w:jc w:val="center"/>
              <w:rPr>
                <w:rFonts w:ascii="標楷體" w:eastAsia="標楷體" w:hAnsi="標楷體"/>
              </w:rPr>
            </w:pPr>
            <w:r w:rsidRPr="00F738DB">
              <w:rPr>
                <w:rFonts w:ascii="標楷體" w:eastAsia="標楷體" w:hAnsi="標楷體"/>
              </w:rPr>
              <w:t>一</w:t>
            </w:r>
          </w:p>
          <w:p w14:paraId="16B241AE" w14:textId="77777777" w:rsidR="00F738DB" w:rsidRPr="00F738DB" w:rsidRDefault="00F738DB" w:rsidP="00F738DB">
            <w:pPr>
              <w:spacing w:after="0" w:line="300" w:lineRule="exact"/>
              <w:jc w:val="center"/>
              <w:rPr>
                <w:rFonts w:ascii="標楷體" w:eastAsia="標楷體" w:hAnsi="標楷體"/>
              </w:rPr>
            </w:pPr>
            <w:r w:rsidRPr="00F738DB">
              <w:rPr>
                <w:rFonts w:ascii="標楷體" w:eastAsia="標楷體" w:hAnsi="標楷體"/>
              </w:rPr>
              <w:t>位</w:t>
            </w:r>
          </w:p>
          <w:p w14:paraId="4F8E78AA" w14:textId="77777777" w:rsidR="00F738DB" w:rsidRPr="00F738DB" w:rsidRDefault="00F738DB" w:rsidP="00F738DB">
            <w:pPr>
              <w:spacing w:after="0" w:line="300" w:lineRule="exact"/>
              <w:jc w:val="center"/>
              <w:rPr>
                <w:rFonts w:ascii="標楷體" w:eastAsia="標楷體" w:hAnsi="標楷體"/>
              </w:rPr>
            </w:pPr>
            <w:r w:rsidRPr="00F738DB">
              <w:rPr>
                <w:rFonts w:ascii="標楷體" w:eastAsia="標楷體" w:hAnsi="標楷體"/>
              </w:rPr>
              <w:t>評</w:t>
            </w:r>
          </w:p>
          <w:p w14:paraId="27B80466" w14:textId="77777777" w:rsidR="00F738DB" w:rsidRPr="00F738DB" w:rsidRDefault="00F738DB" w:rsidP="00F738DB">
            <w:pPr>
              <w:spacing w:after="0" w:line="300" w:lineRule="exact"/>
              <w:jc w:val="center"/>
              <w:rPr>
                <w:rFonts w:ascii="標楷體" w:eastAsia="標楷體" w:hAnsi="標楷體"/>
              </w:rPr>
            </w:pPr>
            <w:r w:rsidRPr="00F738DB">
              <w:rPr>
                <w:rFonts w:ascii="標楷體" w:eastAsia="標楷體" w:hAnsi="標楷體"/>
              </w:rPr>
              <w:t>審</w:t>
            </w:r>
          </w:p>
          <w:p w14:paraId="598D9372" w14:textId="77777777" w:rsidR="00F738DB" w:rsidRPr="00F738DB" w:rsidRDefault="00F738DB" w:rsidP="00F738DB">
            <w:pPr>
              <w:spacing w:after="0" w:line="300" w:lineRule="exact"/>
              <w:jc w:val="center"/>
              <w:rPr>
                <w:rFonts w:ascii="標楷體" w:eastAsia="標楷體" w:hAnsi="標楷體"/>
              </w:rPr>
            </w:pPr>
            <w:r w:rsidRPr="00F738DB">
              <w:rPr>
                <w:rFonts w:ascii="標楷體" w:eastAsia="標楷體" w:hAnsi="標楷體"/>
              </w:rPr>
              <w:t>意</w:t>
            </w:r>
          </w:p>
          <w:p w14:paraId="275E66D0" w14:textId="77777777" w:rsidR="00F738DB" w:rsidRPr="00F738DB" w:rsidRDefault="00F738DB" w:rsidP="00F738DB">
            <w:pPr>
              <w:spacing w:after="0" w:line="300" w:lineRule="exact"/>
              <w:jc w:val="center"/>
              <w:rPr>
                <w:rFonts w:ascii="標楷體" w:eastAsia="標楷體" w:hAnsi="標楷體"/>
              </w:rPr>
            </w:pPr>
            <w:r w:rsidRPr="00F738DB">
              <w:rPr>
                <w:rFonts w:ascii="標楷體" w:eastAsia="標楷體" w:hAnsi="標楷體"/>
              </w:rPr>
              <w:t>見</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B10B4"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同意刊登</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DCACBF"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刊登</w:t>
            </w:r>
          </w:p>
        </w:tc>
        <w:tc>
          <w:tcPr>
            <w:tcW w:w="1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BEFD5"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修正後刊登</w:t>
            </w:r>
          </w:p>
        </w:tc>
        <w:tc>
          <w:tcPr>
            <w:tcW w:w="1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C8D0D"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修正後再審</w:t>
            </w:r>
          </w:p>
        </w:tc>
        <w:tc>
          <w:tcPr>
            <w:tcW w:w="2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C214A"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送第三位</w:t>
            </w:r>
            <w:proofErr w:type="gramStart"/>
            <w:r w:rsidRPr="00F738DB">
              <w:rPr>
                <w:rFonts w:ascii="標楷體" w:eastAsia="標楷體" w:hAnsi="標楷體"/>
              </w:rPr>
              <w:t>複</w:t>
            </w:r>
            <w:proofErr w:type="gramEnd"/>
            <w:r w:rsidRPr="00F738DB">
              <w:rPr>
                <w:rFonts w:ascii="標楷體" w:eastAsia="標楷體" w:hAnsi="標楷體"/>
              </w:rPr>
              <w:t>審</w:t>
            </w:r>
          </w:p>
        </w:tc>
      </w:tr>
      <w:tr w:rsidR="00F738DB" w:rsidRPr="00F738DB" w14:paraId="2FAF921C" w14:textId="77777777" w:rsidTr="00F738DB">
        <w:trPr>
          <w:trHeight w:val="555"/>
          <w:jc w:val="center"/>
        </w:trPr>
        <w:tc>
          <w:tcPr>
            <w:tcW w:w="697" w:type="dxa"/>
            <w:vMerge/>
            <w:tcBorders>
              <w:top w:val="nil"/>
              <w:left w:val="single" w:sz="8" w:space="0" w:color="auto"/>
              <w:bottom w:val="single" w:sz="8" w:space="0" w:color="auto"/>
              <w:right w:val="single" w:sz="8" w:space="0" w:color="auto"/>
            </w:tcBorders>
            <w:vAlign w:val="center"/>
            <w:hideMark/>
          </w:tcPr>
          <w:p w14:paraId="1498265B" w14:textId="77777777" w:rsidR="00F738DB" w:rsidRPr="00F738DB" w:rsidRDefault="00F738DB" w:rsidP="00F738DB">
            <w:pPr>
              <w:spacing w:after="0" w:line="240" w:lineRule="auto"/>
              <w:jc w:val="center"/>
              <w:rPr>
                <w:rFonts w:ascii="標楷體" w:eastAsia="標楷體" w:hAnsi="標楷體"/>
              </w:rPr>
            </w:pP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42C54"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修正後刊登</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55FFE"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修正後刊登</w:t>
            </w:r>
          </w:p>
        </w:tc>
        <w:tc>
          <w:tcPr>
            <w:tcW w:w="1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06612"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修正後刊登</w:t>
            </w:r>
          </w:p>
        </w:tc>
        <w:tc>
          <w:tcPr>
            <w:tcW w:w="1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88F5D"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修正後再審</w:t>
            </w:r>
          </w:p>
        </w:tc>
        <w:tc>
          <w:tcPr>
            <w:tcW w:w="2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0BFEC"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送第三位</w:t>
            </w:r>
            <w:proofErr w:type="gramStart"/>
            <w:r w:rsidRPr="00F738DB">
              <w:rPr>
                <w:rFonts w:ascii="標楷體" w:eastAsia="標楷體" w:hAnsi="標楷體"/>
              </w:rPr>
              <w:t>複</w:t>
            </w:r>
            <w:proofErr w:type="gramEnd"/>
            <w:r w:rsidRPr="00F738DB">
              <w:rPr>
                <w:rFonts w:ascii="標楷體" w:eastAsia="標楷體" w:hAnsi="標楷體"/>
              </w:rPr>
              <w:t>審</w:t>
            </w:r>
          </w:p>
        </w:tc>
      </w:tr>
      <w:tr w:rsidR="00F738DB" w:rsidRPr="00F738DB" w14:paraId="29EC345C" w14:textId="77777777" w:rsidTr="00F738DB">
        <w:trPr>
          <w:trHeight w:val="549"/>
          <w:jc w:val="center"/>
        </w:trPr>
        <w:tc>
          <w:tcPr>
            <w:tcW w:w="697" w:type="dxa"/>
            <w:vMerge/>
            <w:tcBorders>
              <w:top w:val="nil"/>
              <w:left w:val="single" w:sz="8" w:space="0" w:color="auto"/>
              <w:bottom w:val="single" w:sz="8" w:space="0" w:color="auto"/>
              <w:right w:val="single" w:sz="8" w:space="0" w:color="auto"/>
            </w:tcBorders>
            <w:vAlign w:val="center"/>
            <w:hideMark/>
          </w:tcPr>
          <w:p w14:paraId="7D84F9AF" w14:textId="77777777" w:rsidR="00F738DB" w:rsidRPr="00F738DB" w:rsidRDefault="00F738DB" w:rsidP="00F738DB">
            <w:pPr>
              <w:spacing w:after="0" w:line="240" w:lineRule="auto"/>
              <w:jc w:val="center"/>
              <w:rPr>
                <w:rFonts w:ascii="標楷體" w:eastAsia="標楷體" w:hAnsi="標楷體"/>
              </w:rPr>
            </w:pP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BB3A5"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修正後再審</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7B18F"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修正後再審</w:t>
            </w:r>
          </w:p>
        </w:tc>
        <w:tc>
          <w:tcPr>
            <w:tcW w:w="1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39517"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修正後再審</w:t>
            </w:r>
          </w:p>
        </w:tc>
        <w:tc>
          <w:tcPr>
            <w:tcW w:w="1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B5A89"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修正後再審</w:t>
            </w:r>
          </w:p>
        </w:tc>
        <w:tc>
          <w:tcPr>
            <w:tcW w:w="2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D290B"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不予刊登</w:t>
            </w:r>
          </w:p>
        </w:tc>
      </w:tr>
      <w:tr w:rsidR="00F738DB" w:rsidRPr="00F738DB" w14:paraId="3D20C3EA" w14:textId="77777777" w:rsidTr="00F738DB">
        <w:trPr>
          <w:trHeight w:val="387"/>
          <w:jc w:val="center"/>
        </w:trPr>
        <w:tc>
          <w:tcPr>
            <w:tcW w:w="697" w:type="dxa"/>
            <w:vMerge/>
            <w:tcBorders>
              <w:top w:val="nil"/>
              <w:left w:val="single" w:sz="8" w:space="0" w:color="auto"/>
              <w:bottom w:val="single" w:sz="8" w:space="0" w:color="auto"/>
              <w:right w:val="single" w:sz="8" w:space="0" w:color="auto"/>
            </w:tcBorders>
            <w:vAlign w:val="center"/>
            <w:hideMark/>
          </w:tcPr>
          <w:p w14:paraId="65A16B16" w14:textId="77777777" w:rsidR="00F738DB" w:rsidRPr="00F738DB" w:rsidRDefault="00F738DB" w:rsidP="00F738DB">
            <w:pPr>
              <w:spacing w:after="0" w:line="240" w:lineRule="auto"/>
              <w:jc w:val="center"/>
              <w:rPr>
                <w:rFonts w:ascii="標楷體" w:eastAsia="標楷體" w:hAnsi="標楷體"/>
              </w:rPr>
            </w:pP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617A3"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不宜刊登</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5B098"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送第三位</w:t>
            </w:r>
            <w:proofErr w:type="gramStart"/>
            <w:r w:rsidRPr="00F738DB">
              <w:rPr>
                <w:rFonts w:ascii="標楷體" w:eastAsia="標楷體" w:hAnsi="標楷體"/>
              </w:rPr>
              <w:t>複</w:t>
            </w:r>
            <w:proofErr w:type="gramEnd"/>
            <w:r w:rsidRPr="00F738DB">
              <w:rPr>
                <w:rFonts w:ascii="標楷體" w:eastAsia="標楷體" w:hAnsi="標楷體"/>
              </w:rPr>
              <w:t>審</w:t>
            </w:r>
          </w:p>
        </w:tc>
        <w:tc>
          <w:tcPr>
            <w:tcW w:w="1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46BBE"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送第三位</w:t>
            </w:r>
            <w:proofErr w:type="gramStart"/>
            <w:r w:rsidRPr="00F738DB">
              <w:rPr>
                <w:rFonts w:ascii="標楷體" w:eastAsia="標楷體" w:hAnsi="標楷體"/>
              </w:rPr>
              <w:t>複</w:t>
            </w:r>
            <w:proofErr w:type="gramEnd"/>
            <w:r w:rsidRPr="00F738DB">
              <w:rPr>
                <w:rFonts w:ascii="標楷體" w:eastAsia="標楷體" w:hAnsi="標楷體"/>
              </w:rPr>
              <w:t>審</w:t>
            </w:r>
          </w:p>
        </w:tc>
        <w:tc>
          <w:tcPr>
            <w:tcW w:w="1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463E87"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不予刊登</w:t>
            </w:r>
          </w:p>
        </w:tc>
        <w:tc>
          <w:tcPr>
            <w:tcW w:w="2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9871A" w14:textId="77777777" w:rsidR="00F738DB" w:rsidRPr="00F738DB" w:rsidRDefault="00F738DB" w:rsidP="00F738DB">
            <w:pPr>
              <w:spacing w:after="0" w:line="240" w:lineRule="auto"/>
              <w:jc w:val="center"/>
              <w:rPr>
                <w:rFonts w:ascii="標楷體" w:eastAsia="標楷體" w:hAnsi="標楷體"/>
              </w:rPr>
            </w:pPr>
            <w:r w:rsidRPr="00F738DB">
              <w:rPr>
                <w:rFonts w:ascii="標楷體" w:eastAsia="標楷體" w:hAnsi="標楷體"/>
              </w:rPr>
              <w:t>不予刊登</w:t>
            </w:r>
          </w:p>
        </w:tc>
      </w:tr>
    </w:tbl>
    <w:p w14:paraId="2D08CF30" w14:textId="31A2C9C0" w:rsidR="00F738DB" w:rsidRPr="00F738DB" w:rsidRDefault="00F738DB" w:rsidP="00F738DB">
      <w:pPr>
        <w:pStyle w:val="a9"/>
        <w:numPr>
          <w:ilvl w:val="0"/>
          <w:numId w:val="3"/>
        </w:numPr>
        <w:spacing w:after="0" w:line="240" w:lineRule="auto"/>
        <w:jc w:val="both"/>
        <w:rPr>
          <w:rFonts w:ascii="標楷體" w:eastAsia="標楷體" w:hAnsi="標楷體"/>
        </w:rPr>
      </w:pPr>
      <w:r w:rsidRPr="00F738DB">
        <w:rPr>
          <w:rFonts w:ascii="標楷體" w:eastAsia="標楷體" w:hAnsi="標楷體"/>
        </w:rPr>
        <w:t>若二位外審評審者對於採用與否意見有出入時，由學報編輯委員會另聘第三位評審人匿名審查或得由主編或</w:t>
      </w:r>
      <w:proofErr w:type="gramStart"/>
      <w:r w:rsidRPr="00F738DB">
        <w:rPr>
          <w:rFonts w:ascii="標楷體" w:eastAsia="標楷體" w:hAnsi="標楷體"/>
        </w:rPr>
        <w:t>編委依論文</w:t>
      </w:r>
      <w:proofErr w:type="gramEnd"/>
      <w:r w:rsidRPr="00F738DB">
        <w:rPr>
          <w:rFonts w:ascii="標楷體" w:eastAsia="標楷體" w:hAnsi="標楷體"/>
        </w:rPr>
        <w:t>品質及審查意見裁量決定。</w:t>
      </w:r>
    </w:p>
    <w:p w14:paraId="33AE95CB" w14:textId="27947289" w:rsidR="00F738DB" w:rsidRPr="00F738DB" w:rsidRDefault="00F738DB" w:rsidP="00F738DB">
      <w:pPr>
        <w:pStyle w:val="a9"/>
        <w:numPr>
          <w:ilvl w:val="0"/>
          <w:numId w:val="2"/>
        </w:numPr>
        <w:spacing w:after="0" w:line="240" w:lineRule="auto"/>
        <w:ind w:left="1304" w:hanging="737"/>
        <w:jc w:val="both"/>
        <w:rPr>
          <w:rFonts w:ascii="標楷體" w:eastAsia="標楷體" w:hAnsi="標楷體"/>
        </w:rPr>
      </w:pPr>
      <w:proofErr w:type="gramStart"/>
      <w:r w:rsidRPr="00F738DB">
        <w:rPr>
          <w:rFonts w:ascii="標楷體" w:eastAsia="標楷體" w:hAnsi="標楷體"/>
        </w:rPr>
        <w:t>複</w:t>
      </w:r>
      <w:proofErr w:type="gramEnd"/>
      <w:r w:rsidRPr="00F738DB">
        <w:rPr>
          <w:rFonts w:ascii="標楷體" w:eastAsia="標楷體" w:hAnsi="標楷體"/>
        </w:rPr>
        <w:t>審：通過外審之稿件，委請學報主編先行核閱所有審查意見、作者歷次修改之審查意見處理情形表及文章整體品質，提供是否刊登之建議，並將結果提本</w:t>
      </w:r>
      <w:r w:rsidR="00C0633E">
        <w:rPr>
          <w:rFonts w:ascii="標楷體" w:eastAsia="標楷體" w:hAnsi="標楷體" w:hint="eastAsia"/>
        </w:rPr>
        <w:t>會</w:t>
      </w:r>
      <w:r w:rsidRPr="00F738DB">
        <w:rPr>
          <w:rFonts w:ascii="標楷體" w:eastAsia="標楷體" w:hAnsi="標楷體"/>
        </w:rPr>
        <w:t>審議。</w:t>
      </w:r>
    </w:p>
    <w:p w14:paraId="02B43D08" w14:textId="77777777" w:rsidR="00F738DB" w:rsidRPr="00F738DB" w:rsidRDefault="00F738DB" w:rsidP="00F738DB">
      <w:pPr>
        <w:pStyle w:val="a9"/>
        <w:numPr>
          <w:ilvl w:val="0"/>
          <w:numId w:val="1"/>
        </w:numPr>
        <w:spacing w:after="0" w:line="240" w:lineRule="auto"/>
        <w:ind w:left="567" w:hanging="567"/>
        <w:jc w:val="both"/>
        <w:rPr>
          <w:rFonts w:ascii="標楷體" w:eastAsia="標楷體" w:hAnsi="標楷體"/>
        </w:rPr>
      </w:pPr>
      <w:r w:rsidRPr="00F738DB">
        <w:rPr>
          <w:rFonts w:ascii="標楷體" w:eastAsia="標楷體" w:hAnsi="標楷體"/>
        </w:rPr>
        <w:t>審查作業原則：</w:t>
      </w:r>
    </w:p>
    <w:p w14:paraId="3F550C66" w14:textId="77777777" w:rsidR="00F738DB" w:rsidRPr="00F738DB" w:rsidRDefault="00F738DB" w:rsidP="00F738DB">
      <w:pPr>
        <w:pStyle w:val="a9"/>
        <w:numPr>
          <w:ilvl w:val="0"/>
          <w:numId w:val="5"/>
        </w:numPr>
        <w:spacing w:after="0" w:line="240" w:lineRule="auto"/>
        <w:ind w:left="1304" w:hanging="737"/>
        <w:jc w:val="both"/>
        <w:rPr>
          <w:rFonts w:ascii="標楷體" w:eastAsia="標楷體" w:hAnsi="標楷體"/>
        </w:rPr>
      </w:pPr>
      <w:r w:rsidRPr="00F738DB">
        <w:rPr>
          <w:rFonts w:ascii="標楷體" w:eastAsia="標楷體" w:hAnsi="標楷體"/>
        </w:rPr>
        <w:t>本學報之編輯委員、執行編輯如有投稿本期刊，</w:t>
      </w:r>
      <w:proofErr w:type="gramStart"/>
      <w:r w:rsidRPr="00F738DB">
        <w:rPr>
          <w:rFonts w:ascii="標楷體" w:eastAsia="標楷體" w:hAnsi="標楷體"/>
        </w:rPr>
        <w:t>不</w:t>
      </w:r>
      <w:proofErr w:type="gramEnd"/>
      <w:r w:rsidRPr="00F738DB">
        <w:rPr>
          <w:rFonts w:ascii="標楷體" w:eastAsia="標楷體" w:hAnsi="標楷體"/>
        </w:rPr>
        <w:t>得出列席參與所</w:t>
      </w:r>
      <w:r w:rsidRPr="00F738DB">
        <w:rPr>
          <w:rFonts w:ascii="標楷體" w:eastAsia="標楷體" w:hAnsi="標楷體"/>
        </w:rPr>
        <w:lastRenderedPageBreak/>
        <w:t>投文稿之任何討論，不得經手處理或保管與個人稿件相關之任何資料（如審稿意見、審稿者資料），其職務代理人由主編指定。</w:t>
      </w:r>
    </w:p>
    <w:p w14:paraId="347D5657" w14:textId="77777777" w:rsidR="00F738DB" w:rsidRPr="00F738DB" w:rsidRDefault="00F738DB" w:rsidP="00F738DB">
      <w:pPr>
        <w:pStyle w:val="a9"/>
        <w:numPr>
          <w:ilvl w:val="0"/>
          <w:numId w:val="5"/>
        </w:numPr>
        <w:spacing w:after="0" w:line="240" w:lineRule="auto"/>
        <w:ind w:left="1304" w:hanging="737"/>
        <w:jc w:val="both"/>
        <w:rPr>
          <w:rFonts w:ascii="標楷體" w:eastAsia="標楷體" w:hAnsi="標楷體"/>
        </w:rPr>
      </w:pPr>
      <w:r w:rsidRPr="00F738DB">
        <w:rPr>
          <w:rFonts w:ascii="標楷體" w:eastAsia="標楷體" w:hAnsi="標楷體"/>
        </w:rPr>
        <w:t>審稿者名單之推薦，主編委請與投稿論文領域相關之編輯委員推薦適合之專業審查人員，並斟酌考量</w:t>
      </w:r>
      <w:proofErr w:type="gramStart"/>
      <w:r w:rsidRPr="00F738DB">
        <w:rPr>
          <w:rFonts w:ascii="標楷體" w:eastAsia="標楷體" w:hAnsi="標楷體"/>
        </w:rPr>
        <w:t>投稿者與審稿</w:t>
      </w:r>
      <w:proofErr w:type="gramEnd"/>
      <w:r w:rsidRPr="00F738DB">
        <w:rPr>
          <w:rFonts w:ascii="標楷體" w:eastAsia="標楷體" w:hAnsi="標楷體"/>
        </w:rPr>
        <w:t>者間之利害關係（如論文指導關係、同事關係等），迴避不適合之審稿者。</w:t>
      </w:r>
    </w:p>
    <w:p w14:paraId="6558E1EE" w14:textId="79D9D2EA" w:rsidR="00F738DB" w:rsidRPr="00F738DB" w:rsidRDefault="00F738DB" w:rsidP="00F738DB">
      <w:pPr>
        <w:pStyle w:val="a9"/>
        <w:numPr>
          <w:ilvl w:val="0"/>
          <w:numId w:val="5"/>
        </w:numPr>
        <w:spacing w:after="0" w:line="240" w:lineRule="auto"/>
        <w:ind w:left="1304" w:hanging="737"/>
        <w:jc w:val="both"/>
        <w:rPr>
          <w:rFonts w:ascii="標楷體" w:eastAsia="標楷體" w:hAnsi="標楷體"/>
        </w:rPr>
      </w:pPr>
      <w:r w:rsidRPr="00F738DB">
        <w:rPr>
          <w:rFonts w:ascii="標楷體" w:eastAsia="標楷體" w:hAnsi="標楷體"/>
        </w:rPr>
        <w:t>邀請審查函發送後一</w:t>
      </w:r>
      <w:proofErr w:type="gramStart"/>
      <w:r w:rsidRPr="00F738DB">
        <w:rPr>
          <w:rFonts w:ascii="標楷體" w:eastAsia="標楷體" w:hAnsi="標楷體"/>
        </w:rPr>
        <w:t>週</w:t>
      </w:r>
      <w:proofErr w:type="gramEnd"/>
      <w:r w:rsidRPr="00F738DB">
        <w:rPr>
          <w:rFonts w:ascii="標楷體" w:eastAsia="標楷體" w:hAnsi="標楷體"/>
        </w:rPr>
        <w:t>後未回覆者，將重新邀請其他審查人員審查之。</w:t>
      </w:r>
    </w:p>
    <w:p w14:paraId="1DE04785" w14:textId="38FE1CF9" w:rsidR="00F738DB" w:rsidRPr="00F738DB" w:rsidRDefault="00F738DB" w:rsidP="00F738DB">
      <w:pPr>
        <w:pStyle w:val="a9"/>
        <w:numPr>
          <w:ilvl w:val="0"/>
          <w:numId w:val="5"/>
        </w:numPr>
        <w:spacing w:after="0" w:line="240" w:lineRule="auto"/>
        <w:ind w:left="1304" w:hanging="737"/>
        <w:jc w:val="both"/>
        <w:rPr>
          <w:rFonts w:ascii="標楷體" w:eastAsia="標楷體" w:hAnsi="標楷體"/>
        </w:rPr>
      </w:pPr>
      <w:r w:rsidRPr="00F738DB">
        <w:rPr>
          <w:rFonts w:ascii="標楷體" w:eastAsia="標楷體" w:hAnsi="標楷體"/>
        </w:rPr>
        <w:t>同意審查之審查人員，如逾期未寄回審查稿件，為維護投稿者權益，即刻停止審查，並重新邀請其他審查人員審查之。</w:t>
      </w:r>
    </w:p>
    <w:p w14:paraId="40248DE9" w14:textId="6D4ED6C7" w:rsidR="00F738DB" w:rsidRPr="00F738DB" w:rsidRDefault="00F738DB" w:rsidP="00F738DB">
      <w:pPr>
        <w:pStyle w:val="a9"/>
        <w:numPr>
          <w:ilvl w:val="0"/>
          <w:numId w:val="5"/>
        </w:numPr>
        <w:spacing w:after="0" w:line="240" w:lineRule="auto"/>
        <w:ind w:left="1304" w:hanging="737"/>
        <w:jc w:val="both"/>
        <w:rPr>
          <w:rFonts w:ascii="標楷體" w:eastAsia="標楷體" w:hAnsi="標楷體"/>
        </w:rPr>
      </w:pPr>
      <w:r w:rsidRPr="00F738DB">
        <w:rPr>
          <w:rFonts w:ascii="標楷體" w:eastAsia="標楷體" w:hAnsi="標楷體"/>
        </w:rPr>
        <w:t>不論審稿中或審稿後，編輯委員會及編</w:t>
      </w:r>
      <w:proofErr w:type="gramStart"/>
      <w:r w:rsidRPr="00F738DB">
        <w:rPr>
          <w:rFonts w:ascii="標楷體" w:eastAsia="標楷體" w:hAnsi="標楷體"/>
        </w:rPr>
        <w:t>務</w:t>
      </w:r>
      <w:proofErr w:type="gramEnd"/>
      <w:r w:rsidRPr="00F738DB">
        <w:rPr>
          <w:rFonts w:ascii="標楷體" w:eastAsia="標楷體" w:hAnsi="標楷體"/>
        </w:rPr>
        <w:t>行政人員對於</w:t>
      </w:r>
      <w:proofErr w:type="gramStart"/>
      <w:r w:rsidRPr="00F738DB">
        <w:rPr>
          <w:rFonts w:ascii="標楷體" w:eastAsia="標楷體" w:hAnsi="標楷體"/>
        </w:rPr>
        <w:t>投稿者與審稿</w:t>
      </w:r>
      <w:proofErr w:type="gramEnd"/>
      <w:r w:rsidRPr="00F738DB">
        <w:rPr>
          <w:rFonts w:ascii="標楷體" w:eastAsia="標楷體" w:hAnsi="標楷體"/>
        </w:rPr>
        <w:t>者之資料負保密之責。</w:t>
      </w:r>
    </w:p>
    <w:p w14:paraId="55650041" w14:textId="5D5FFBA4" w:rsidR="00F738DB" w:rsidRPr="00F738DB" w:rsidRDefault="00F738DB" w:rsidP="00F738DB">
      <w:pPr>
        <w:pStyle w:val="a9"/>
        <w:numPr>
          <w:ilvl w:val="0"/>
          <w:numId w:val="1"/>
        </w:numPr>
        <w:spacing w:after="0" w:line="240" w:lineRule="auto"/>
        <w:ind w:left="567" w:hanging="567"/>
        <w:jc w:val="both"/>
        <w:rPr>
          <w:rFonts w:ascii="標楷體" w:eastAsia="標楷體" w:hAnsi="標楷體"/>
        </w:rPr>
      </w:pPr>
      <w:r w:rsidRPr="00F738DB">
        <w:rPr>
          <w:rFonts w:ascii="標楷體" w:eastAsia="標楷體" w:hAnsi="標楷體" w:hint="eastAsia"/>
        </w:rPr>
        <w:t>本要點如有未盡事宜，悉依本</w:t>
      </w:r>
      <w:r w:rsidR="00C0633E">
        <w:rPr>
          <w:rFonts w:ascii="標楷體" w:eastAsia="標楷體" w:hAnsi="標楷體" w:hint="eastAsia"/>
        </w:rPr>
        <w:t>學</w:t>
      </w:r>
      <w:r w:rsidRPr="00F738DB">
        <w:rPr>
          <w:rFonts w:ascii="標楷體" w:eastAsia="標楷體" w:hAnsi="標楷體" w:hint="eastAsia"/>
        </w:rPr>
        <w:t>報相關規定辦理。</w:t>
      </w:r>
    </w:p>
    <w:p w14:paraId="1A9488E8" w14:textId="5C2EDC17" w:rsidR="00757C75" w:rsidRPr="00F738DB" w:rsidRDefault="00F738DB" w:rsidP="00F738DB">
      <w:pPr>
        <w:pStyle w:val="a9"/>
        <w:numPr>
          <w:ilvl w:val="0"/>
          <w:numId w:val="1"/>
        </w:numPr>
        <w:spacing w:after="0" w:line="240" w:lineRule="auto"/>
        <w:ind w:left="567" w:hanging="567"/>
        <w:jc w:val="both"/>
        <w:rPr>
          <w:rFonts w:ascii="標楷體" w:eastAsia="標楷體" w:hAnsi="標楷體" w:hint="eastAsia"/>
        </w:rPr>
      </w:pPr>
      <w:r w:rsidRPr="00F738DB">
        <w:rPr>
          <w:rFonts w:ascii="標楷體" w:eastAsia="標楷體" w:hAnsi="標楷體"/>
        </w:rPr>
        <w:t>本要點經</w:t>
      </w:r>
      <w:r w:rsidRPr="00F738DB">
        <w:rPr>
          <w:rFonts w:ascii="標楷體" w:eastAsia="標楷體" w:hAnsi="標楷體" w:hint="eastAsia"/>
        </w:rPr>
        <w:t>藝文</w:t>
      </w:r>
      <w:r w:rsidRPr="00F738DB">
        <w:rPr>
          <w:rFonts w:ascii="標楷體" w:eastAsia="標楷體" w:hAnsi="標楷體"/>
        </w:rPr>
        <w:t>學報編輯委員會通過後實施。</w:t>
      </w:r>
    </w:p>
    <w:sectPr w:rsidR="00757C75" w:rsidRPr="00F738D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13994"/>
    <w:multiLevelType w:val="hybridMultilevel"/>
    <w:tmpl w:val="42508BB4"/>
    <w:lvl w:ilvl="0" w:tplc="B04A87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916D0C"/>
    <w:multiLevelType w:val="hybridMultilevel"/>
    <w:tmpl w:val="3C749B6C"/>
    <w:lvl w:ilvl="0" w:tplc="18863C6A">
      <w:start w:val="1"/>
      <w:numFmt w:val="taiwaneseCountingThousand"/>
      <w:lvlText w:val="(%1)"/>
      <w:lvlJc w:val="left"/>
      <w:pPr>
        <w:ind w:left="954" w:hanging="387"/>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5463183F"/>
    <w:multiLevelType w:val="hybridMultilevel"/>
    <w:tmpl w:val="D1AEC120"/>
    <w:lvl w:ilvl="0" w:tplc="BEA2DF94">
      <w:start w:val="1"/>
      <w:numFmt w:val="decimal"/>
      <w:lvlText w:val="%1."/>
      <w:lvlJc w:val="left"/>
      <w:pPr>
        <w:ind w:left="1314" w:hanging="360"/>
      </w:pPr>
      <w:rPr>
        <w:rFonts w:hint="default"/>
      </w:rPr>
    </w:lvl>
    <w:lvl w:ilvl="1" w:tplc="04090019" w:tentative="1">
      <w:start w:val="1"/>
      <w:numFmt w:val="ideographTraditional"/>
      <w:lvlText w:val="%2、"/>
      <w:lvlJc w:val="left"/>
      <w:pPr>
        <w:ind w:left="1914" w:hanging="480"/>
      </w:pPr>
    </w:lvl>
    <w:lvl w:ilvl="2" w:tplc="0409001B" w:tentative="1">
      <w:start w:val="1"/>
      <w:numFmt w:val="lowerRoman"/>
      <w:lvlText w:val="%3."/>
      <w:lvlJc w:val="right"/>
      <w:pPr>
        <w:ind w:left="2394" w:hanging="480"/>
      </w:pPr>
    </w:lvl>
    <w:lvl w:ilvl="3" w:tplc="0409000F" w:tentative="1">
      <w:start w:val="1"/>
      <w:numFmt w:val="decimal"/>
      <w:lvlText w:val="%4."/>
      <w:lvlJc w:val="left"/>
      <w:pPr>
        <w:ind w:left="2874" w:hanging="480"/>
      </w:pPr>
    </w:lvl>
    <w:lvl w:ilvl="4" w:tplc="04090019" w:tentative="1">
      <w:start w:val="1"/>
      <w:numFmt w:val="ideographTraditional"/>
      <w:lvlText w:val="%5、"/>
      <w:lvlJc w:val="left"/>
      <w:pPr>
        <w:ind w:left="3354" w:hanging="480"/>
      </w:pPr>
    </w:lvl>
    <w:lvl w:ilvl="5" w:tplc="0409001B" w:tentative="1">
      <w:start w:val="1"/>
      <w:numFmt w:val="lowerRoman"/>
      <w:lvlText w:val="%6."/>
      <w:lvlJc w:val="right"/>
      <w:pPr>
        <w:ind w:left="3834" w:hanging="480"/>
      </w:pPr>
    </w:lvl>
    <w:lvl w:ilvl="6" w:tplc="0409000F" w:tentative="1">
      <w:start w:val="1"/>
      <w:numFmt w:val="decimal"/>
      <w:lvlText w:val="%7."/>
      <w:lvlJc w:val="left"/>
      <w:pPr>
        <w:ind w:left="4314" w:hanging="480"/>
      </w:pPr>
    </w:lvl>
    <w:lvl w:ilvl="7" w:tplc="04090019" w:tentative="1">
      <w:start w:val="1"/>
      <w:numFmt w:val="ideographTraditional"/>
      <w:lvlText w:val="%8、"/>
      <w:lvlJc w:val="left"/>
      <w:pPr>
        <w:ind w:left="4794" w:hanging="480"/>
      </w:pPr>
    </w:lvl>
    <w:lvl w:ilvl="8" w:tplc="0409001B" w:tentative="1">
      <w:start w:val="1"/>
      <w:numFmt w:val="lowerRoman"/>
      <w:lvlText w:val="%9."/>
      <w:lvlJc w:val="right"/>
      <w:pPr>
        <w:ind w:left="5274" w:hanging="480"/>
      </w:pPr>
    </w:lvl>
  </w:abstractNum>
  <w:abstractNum w:abstractNumId="3" w15:restartNumberingAfterBreak="0">
    <w:nsid w:val="62B50842"/>
    <w:multiLevelType w:val="hybridMultilevel"/>
    <w:tmpl w:val="71649E62"/>
    <w:lvl w:ilvl="0" w:tplc="673A7B80">
      <w:start w:val="1"/>
      <w:numFmt w:val="decimal"/>
      <w:lvlText w:val="(%1)"/>
      <w:lvlJc w:val="left"/>
      <w:pPr>
        <w:ind w:left="1674" w:hanging="360"/>
      </w:pPr>
      <w:rPr>
        <w:rFonts w:hint="default"/>
      </w:rPr>
    </w:lvl>
    <w:lvl w:ilvl="1" w:tplc="04090019" w:tentative="1">
      <w:start w:val="1"/>
      <w:numFmt w:val="ideographTraditional"/>
      <w:lvlText w:val="%2、"/>
      <w:lvlJc w:val="left"/>
      <w:pPr>
        <w:ind w:left="2274" w:hanging="480"/>
      </w:pPr>
    </w:lvl>
    <w:lvl w:ilvl="2" w:tplc="0409001B" w:tentative="1">
      <w:start w:val="1"/>
      <w:numFmt w:val="lowerRoman"/>
      <w:lvlText w:val="%3."/>
      <w:lvlJc w:val="right"/>
      <w:pPr>
        <w:ind w:left="2754" w:hanging="480"/>
      </w:pPr>
    </w:lvl>
    <w:lvl w:ilvl="3" w:tplc="0409000F" w:tentative="1">
      <w:start w:val="1"/>
      <w:numFmt w:val="decimal"/>
      <w:lvlText w:val="%4."/>
      <w:lvlJc w:val="left"/>
      <w:pPr>
        <w:ind w:left="3234" w:hanging="480"/>
      </w:pPr>
    </w:lvl>
    <w:lvl w:ilvl="4" w:tplc="04090019" w:tentative="1">
      <w:start w:val="1"/>
      <w:numFmt w:val="ideographTraditional"/>
      <w:lvlText w:val="%5、"/>
      <w:lvlJc w:val="left"/>
      <w:pPr>
        <w:ind w:left="3714" w:hanging="480"/>
      </w:pPr>
    </w:lvl>
    <w:lvl w:ilvl="5" w:tplc="0409001B" w:tentative="1">
      <w:start w:val="1"/>
      <w:numFmt w:val="lowerRoman"/>
      <w:lvlText w:val="%6."/>
      <w:lvlJc w:val="right"/>
      <w:pPr>
        <w:ind w:left="4194" w:hanging="480"/>
      </w:pPr>
    </w:lvl>
    <w:lvl w:ilvl="6" w:tplc="0409000F" w:tentative="1">
      <w:start w:val="1"/>
      <w:numFmt w:val="decimal"/>
      <w:lvlText w:val="%7."/>
      <w:lvlJc w:val="left"/>
      <w:pPr>
        <w:ind w:left="4674" w:hanging="480"/>
      </w:pPr>
    </w:lvl>
    <w:lvl w:ilvl="7" w:tplc="04090019" w:tentative="1">
      <w:start w:val="1"/>
      <w:numFmt w:val="ideographTraditional"/>
      <w:lvlText w:val="%8、"/>
      <w:lvlJc w:val="left"/>
      <w:pPr>
        <w:ind w:left="5154" w:hanging="480"/>
      </w:pPr>
    </w:lvl>
    <w:lvl w:ilvl="8" w:tplc="0409001B" w:tentative="1">
      <w:start w:val="1"/>
      <w:numFmt w:val="lowerRoman"/>
      <w:lvlText w:val="%9."/>
      <w:lvlJc w:val="right"/>
      <w:pPr>
        <w:ind w:left="5634" w:hanging="480"/>
      </w:pPr>
    </w:lvl>
  </w:abstractNum>
  <w:abstractNum w:abstractNumId="4" w15:restartNumberingAfterBreak="0">
    <w:nsid w:val="686C5184"/>
    <w:multiLevelType w:val="hybridMultilevel"/>
    <w:tmpl w:val="3C749B6C"/>
    <w:lvl w:ilvl="0" w:tplc="FFFFFFFF">
      <w:start w:val="1"/>
      <w:numFmt w:val="taiwaneseCountingThousand"/>
      <w:lvlText w:val="(%1)"/>
      <w:lvlJc w:val="left"/>
      <w:pPr>
        <w:ind w:left="954" w:hanging="387"/>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num w:numId="1" w16cid:durableId="1374231058">
    <w:abstractNumId w:val="0"/>
  </w:num>
  <w:num w:numId="2" w16cid:durableId="498546601">
    <w:abstractNumId w:val="1"/>
  </w:num>
  <w:num w:numId="3" w16cid:durableId="449276193">
    <w:abstractNumId w:val="2"/>
  </w:num>
  <w:num w:numId="4" w16cid:durableId="842279639">
    <w:abstractNumId w:val="3"/>
  </w:num>
  <w:num w:numId="5" w16cid:durableId="1850756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DB"/>
    <w:rsid w:val="00757C75"/>
    <w:rsid w:val="00A02AFD"/>
    <w:rsid w:val="00C0633E"/>
    <w:rsid w:val="00D969E5"/>
    <w:rsid w:val="00F738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43CF"/>
  <w15:chartTrackingRefBased/>
  <w15:docId w15:val="{D3ED5C29-5A59-452F-B692-5FBEB55D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8D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738D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738D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F738D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F738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738D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738D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38D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738D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738D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738D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738D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F738D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738DB"/>
    <w:rPr>
      <w:rFonts w:eastAsiaTheme="majorEastAsia" w:cstheme="majorBidi"/>
      <w:color w:val="0F4761" w:themeColor="accent1" w:themeShade="BF"/>
    </w:rPr>
  </w:style>
  <w:style w:type="character" w:customStyle="1" w:styleId="60">
    <w:name w:val="標題 6 字元"/>
    <w:basedOn w:val="a0"/>
    <w:link w:val="6"/>
    <w:uiPriority w:val="9"/>
    <w:semiHidden/>
    <w:rsid w:val="00F738DB"/>
    <w:rPr>
      <w:rFonts w:eastAsiaTheme="majorEastAsia" w:cstheme="majorBidi"/>
      <w:color w:val="595959" w:themeColor="text1" w:themeTint="A6"/>
    </w:rPr>
  </w:style>
  <w:style w:type="character" w:customStyle="1" w:styleId="70">
    <w:name w:val="標題 7 字元"/>
    <w:basedOn w:val="a0"/>
    <w:link w:val="7"/>
    <w:uiPriority w:val="9"/>
    <w:semiHidden/>
    <w:rsid w:val="00F738DB"/>
    <w:rPr>
      <w:rFonts w:eastAsiaTheme="majorEastAsia" w:cstheme="majorBidi"/>
      <w:color w:val="595959" w:themeColor="text1" w:themeTint="A6"/>
    </w:rPr>
  </w:style>
  <w:style w:type="character" w:customStyle="1" w:styleId="80">
    <w:name w:val="標題 8 字元"/>
    <w:basedOn w:val="a0"/>
    <w:link w:val="8"/>
    <w:uiPriority w:val="9"/>
    <w:semiHidden/>
    <w:rsid w:val="00F738DB"/>
    <w:rPr>
      <w:rFonts w:eastAsiaTheme="majorEastAsia" w:cstheme="majorBidi"/>
      <w:color w:val="272727" w:themeColor="text1" w:themeTint="D8"/>
    </w:rPr>
  </w:style>
  <w:style w:type="character" w:customStyle="1" w:styleId="90">
    <w:name w:val="標題 9 字元"/>
    <w:basedOn w:val="a0"/>
    <w:link w:val="9"/>
    <w:uiPriority w:val="9"/>
    <w:semiHidden/>
    <w:rsid w:val="00F738DB"/>
    <w:rPr>
      <w:rFonts w:eastAsiaTheme="majorEastAsia" w:cstheme="majorBidi"/>
      <w:color w:val="272727" w:themeColor="text1" w:themeTint="D8"/>
    </w:rPr>
  </w:style>
  <w:style w:type="paragraph" w:styleId="a3">
    <w:name w:val="Title"/>
    <w:basedOn w:val="a"/>
    <w:next w:val="a"/>
    <w:link w:val="a4"/>
    <w:uiPriority w:val="10"/>
    <w:qFormat/>
    <w:rsid w:val="00F738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738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8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738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8DB"/>
    <w:pPr>
      <w:spacing w:before="160"/>
      <w:jc w:val="center"/>
    </w:pPr>
    <w:rPr>
      <w:i/>
      <w:iCs/>
      <w:color w:val="404040" w:themeColor="text1" w:themeTint="BF"/>
    </w:rPr>
  </w:style>
  <w:style w:type="character" w:customStyle="1" w:styleId="a8">
    <w:name w:val="引文 字元"/>
    <w:basedOn w:val="a0"/>
    <w:link w:val="a7"/>
    <w:uiPriority w:val="29"/>
    <w:rsid w:val="00F738DB"/>
    <w:rPr>
      <w:i/>
      <w:iCs/>
      <w:color w:val="404040" w:themeColor="text1" w:themeTint="BF"/>
    </w:rPr>
  </w:style>
  <w:style w:type="paragraph" w:styleId="a9">
    <w:name w:val="List Paragraph"/>
    <w:basedOn w:val="a"/>
    <w:uiPriority w:val="34"/>
    <w:qFormat/>
    <w:rsid w:val="00F738DB"/>
    <w:pPr>
      <w:ind w:left="720"/>
      <w:contextualSpacing/>
    </w:pPr>
  </w:style>
  <w:style w:type="character" w:styleId="aa">
    <w:name w:val="Intense Emphasis"/>
    <w:basedOn w:val="a0"/>
    <w:uiPriority w:val="21"/>
    <w:qFormat/>
    <w:rsid w:val="00F738DB"/>
    <w:rPr>
      <w:i/>
      <w:iCs/>
      <w:color w:val="0F4761" w:themeColor="accent1" w:themeShade="BF"/>
    </w:rPr>
  </w:style>
  <w:style w:type="paragraph" w:styleId="ab">
    <w:name w:val="Intense Quote"/>
    <w:basedOn w:val="a"/>
    <w:next w:val="a"/>
    <w:link w:val="ac"/>
    <w:uiPriority w:val="30"/>
    <w:qFormat/>
    <w:rsid w:val="00F73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F738DB"/>
    <w:rPr>
      <w:i/>
      <w:iCs/>
      <w:color w:val="0F4761" w:themeColor="accent1" w:themeShade="BF"/>
    </w:rPr>
  </w:style>
  <w:style w:type="character" w:styleId="ad">
    <w:name w:val="Intense Reference"/>
    <w:basedOn w:val="a0"/>
    <w:uiPriority w:val="32"/>
    <w:qFormat/>
    <w:rsid w:val="00F738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124241">
      <w:bodyDiv w:val="1"/>
      <w:marLeft w:val="0"/>
      <w:marRight w:val="0"/>
      <w:marTop w:val="0"/>
      <w:marBottom w:val="0"/>
      <w:divBdr>
        <w:top w:val="none" w:sz="0" w:space="0" w:color="auto"/>
        <w:left w:val="none" w:sz="0" w:space="0" w:color="auto"/>
        <w:bottom w:val="none" w:sz="0" w:space="0" w:color="auto"/>
        <w:right w:val="none" w:sz="0" w:space="0" w:color="auto"/>
      </w:divBdr>
    </w:div>
    <w:div w:id="853572423">
      <w:bodyDiv w:val="1"/>
      <w:marLeft w:val="0"/>
      <w:marRight w:val="0"/>
      <w:marTop w:val="0"/>
      <w:marBottom w:val="0"/>
      <w:divBdr>
        <w:top w:val="none" w:sz="0" w:space="0" w:color="auto"/>
        <w:left w:val="none" w:sz="0" w:space="0" w:color="auto"/>
        <w:bottom w:val="none" w:sz="0" w:space="0" w:color="auto"/>
        <w:right w:val="none" w:sz="0" w:space="0" w:color="auto"/>
      </w:divBdr>
    </w:div>
    <w:div w:id="1328749374">
      <w:bodyDiv w:val="1"/>
      <w:marLeft w:val="0"/>
      <w:marRight w:val="0"/>
      <w:marTop w:val="0"/>
      <w:marBottom w:val="0"/>
      <w:divBdr>
        <w:top w:val="none" w:sz="0" w:space="0" w:color="auto"/>
        <w:left w:val="none" w:sz="0" w:space="0" w:color="auto"/>
        <w:bottom w:val="none" w:sz="0" w:space="0" w:color="auto"/>
        <w:right w:val="none" w:sz="0" w:space="0" w:color="auto"/>
      </w:divBdr>
    </w:div>
    <w:div w:id="14927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2026-05-06T03:16:00Z</dcterms:created>
  <dcterms:modified xsi:type="dcterms:W3CDTF">2026-05-06T03:29:00Z</dcterms:modified>
</cp:coreProperties>
</file>